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84193" w14:textId="77777777" w:rsidR="006D0D44" w:rsidRDefault="00CC1855">
      <w:pPr>
        <w:spacing w:before="35"/>
        <w:ind w:left="9"/>
        <w:jc w:val="center"/>
        <w:rPr>
          <w:b/>
        </w:rPr>
      </w:pPr>
      <w:r>
        <w:rPr>
          <w:b/>
        </w:rPr>
        <w:t>INFORMACJE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RYZYKU</w:t>
      </w:r>
      <w:r>
        <w:rPr>
          <w:b/>
          <w:spacing w:val="-8"/>
        </w:rPr>
        <w:t xml:space="preserve"> </w:t>
      </w:r>
      <w:r>
        <w:rPr>
          <w:b/>
        </w:rPr>
        <w:t>WIĄŻĄCYM</w:t>
      </w:r>
      <w:r>
        <w:rPr>
          <w:b/>
          <w:spacing w:val="-7"/>
        </w:rPr>
        <w:t xml:space="preserve"> </w:t>
      </w:r>
      <w:r>
        <w:rPr>
          <w:b/>
        </w:rPr>
        <w:t>SIĘ</w:t>
      </w:r>
      <w:r>
        <w:rPr>
          <w:b/>
          <w:spacing w:val="-8"/>
        </w:rPr>
        <w:t xml:space="preserve"> </w:t>
      </w:r>
      <w:r>
        <w:rPr>
          <w:b/>
        </w:rPr>
        <w:t>Z</w:t>
      </w:r>
      <w:r>
        <w:rPr>
          <w:b/>
          <w:spacing w:val="-10"/>
        </w:rPr>
        <w:t xml:space="preserve"> </w:t>
      </w:r>
      <w:r>
        <w:rPr>
          <w:b/>
        </w:rPr>
        <w:t>PUBLIKACJĄ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WIZERUNKU</w:t>
      </w:r>
    </w:p>
    <w:p w14:paraId="11B87A59" w14:textId="77777777" w:rsidR="006D0D44" w:rsidRDefault="006D0D44">
      <w:pPr>
        <w:pStyle w:val="Tekstpodstawowy"/>
        <w:spacing w:before="238"/>
        <w:ind w:left="0"/>
        <w:jc w:val="left"/>
        <w:rPr>
          <w:b/>
        </w:rPr>
      </w:pPr>
    </w:p>
    <w:p w14:paraId="6D3A68EB" w14:textId="77777777" w:rsidR="006D0D44" w:rsidRDefault="00CC1855">
      <w:pPr>
        <w:pStyle w:val="Tekstpodstawowy"/>
        <w:spacing w:before="1"/>
      </w:pPr>
      <w:r>
        <w:t>Szanowni</w:t>
      </w:r>
      <w:r>
        <w:rPr>
          <w:spacing w:val="-3"/>
        </w:rPr>
        <w:t xml:space="preserve"> </w:t>
      </w:r>
      <w:r>
        <w:rPr>
          <w:spacing w:val="-2"/>
        </w:rPr>
        <w:t>Państwo,</w:t>
      </w:r>
    </w:p>
    <w:p w14:paraId="74D7EF3C" w14:textId="77777777" w:rsidR="006D0D44" w:rsidRDefault="00CC1855">
      <w:pPr>
        <w:pStyle w:val="Tekstpodstawowy"/>
        <w:ind w:right="98"/>
      </w:pPr>
      <w:r>
        <w:t>w związku z pozyskiwaniem od rodziców/opiekunów prawnych małoletnich uczestników zajęć zgód na rozpowszechnianie ich wizerunku, utrwalonego w ramach organizowanych zajęć i wydarzeń oraz w związku</w:t>
      </w:r>
      <w:r>
        <w:rPr>
          <w:spacing w:val="36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wprowadzonymi</w:t>
      </w:r>
      <w:r>
        <w:rPr>
          <w:spacing w:val="34"/>
        </w:rPr>
        <w:t xml:space="preserve"> </w:t>
      </w:r>
      <w:r w:rsidRPr="00CC1855">
        <w:rPr>
          <w:b/>
        </w:rPr>
        <w:t>Standardami</w:t>
      </w:r>
      <w:r w:rsidRPr="00CC1855">
        <w:rPr>
          <w:b/>
          <w:spacing w:val="36"/>
        </w:rPr>
        <w:t xml:space="preserve"> </w:t>
      </w:r>
      <w:r w:rsidRPr="00CC1855">
        <w:rPr>
          <w:b/>
        </w:rPr>
        <w:t>Ochrony</w:t>
      </w:r>
      <w:r w:rsidRPr="00CC1855">
        <w:rPr>
          <w:b/>
          <w:spacing w:val="35"/>
        </w:rPr>
        <w:t xml:space="preserve"> </w:t>
      </w:r>
      <w:r w:rsidRPr="00CC1855">
        <w:rPr>
          <w:b/>
        </w:rPr>
        <w:t>Małoletnich</w:t>
      </w:r>
      <w:r>
        <w:t>,</w:t>
      </w:r>
      <w:r>
        <w:rPr>
          <w:spacing w:val="36"/>
        </w:rPr>
        <w:t xml:space="preserve"> </w:t>
      </w:r>
      <w:r w:rsidR="00920961">
        <w:t>Zespół Szkolno-Przedszkolny w Pokoju</w:t>
      </w:r>
      <w:r>
        <w:rPr>
          <w:spacing w:val="35"/>
        </w:rPr>
        <w:t xml:space="preserve"> </w:t>
      </w:r>
      <w:r>
        <w:t>informuje</w:t>
      </w:r>
      <w:r>
        <w:rPr>
          <w:spacing w:val="37"/>
        </w:rPr>
        <w:t xml:space="preserve"> </w:t>
      </w:r>
      <w:r>
        <w:t xml:space="preserve">je o </w:t>
      </w:r>
      <w:r w:rsidRPr="00920961">
        <w:rPr>
          <w:b/>
        </w:rPr>
        <w:t>ryzyku wiążącym się z publikacją wizerunku</w:t>
      </w:r>
      <w:r>
        <w:t>.</w:t>
      </w:r>
      <w:bookmarkStart w:id="0" w:name="_GoBack"/>
      <w:bookmarkEnd w:id="0"/>
    </w:p>
    <w:p w14:paraId="1B01D858" w14:textId="77777777" w:rsidR="006D0D44" w:rsidRDefault="00CC1855">
      <w:pPr>
        <w:pStyle w:val="Tekstpodstawowy"/>
        <w:spacing w:before="121"/>
        <w:ind w:right="101"/>
      </w:pPr>
      <w:r>
        <w:t>Decydując</w:t>
      </w:r>
      <w:r>
        <w:rPr>
          <w:spacing w:val="-13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wyrażenie</w:t>
      </w:r>
      <w:r>
        <w:rPr>
          <w:spacing w:val="-12"/>
        </w:rPr>
        <w:t xml:space="preserve"> </w:t>
      </w:r>
      <w:r>
        <w:t>zgody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publikację</w:t>
      </w:r>
      <w:r>
        <w:rPr>
          <w:spacing w:val="-13"/>
        </w:rPr>
        <w:t xml:space="preserve"> </w:t>
      </w:r>
      <w:r>
        <w:t>wizerunku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Internecie,</w:t>
      </w:r>
      <w:r>
        <w:rPr>
          <w:spacing w:val="-13"/>
        </w:rPr>
        <w:t xml:space="preserve"> </w:t>
      </w:r>
      <w:r>
        <w:t>muszą</w:t>
      </w:r>
      <w:r>
        <w:rPr>
          <w:spacing w:val="-12"/>
        </w:rPr>
        <w:t xml:space="preserve"> </w:t>
      </w:r>
      <w:r>
        <w:t>mieć</w:t>
      </w:r>
      <w:r>
        <w:rPr>
          <w:spacing w:val="-13"/>
        </w:rPr>
        <w:t xml:space="preserve"> </w:t>
      </w:r>
      <w:r>
        <w:t>Państwo</w:t>
      </w:r>
      <w:r>
        <w:rPr>
          <w:spacing w:val="-12"/>
        </w:rPr>
        <w:t xml:space="preserve"> </w:t>
      </w:r>
      <w:r>
        <w:t xml:space="preserve">świadomość specyfiki informacji umieszczanych w sieci, tj. świadomość, że wizerunek ten może </w:t>
      </w:r>
      <w:r>
        <w:t>zostać wykorzystany przez osoby trzecie bez Państwa kontroli.</w:t>
      </w:r>
    </w:p>
    <w:p w14:paraId="30D57213" w14:textId="77777777" w:rsidR="006D0D44" w:rsidRDefault="00CC1855">
      <w:pPr>
        <w:pStyle w:val="Tekstpodstawowy"/>
        <w:spacing w:before="152" w:line="268" w:lineRule="auto"/>
        <w:ind w:right="99"/>
      </w:pPr>
      <w:r>
        <w:t>Raz</w:t>
      </w:r>
      <w:r>
        <w:rPr>
          <w:spacing w:val="-11"/>
        </w:rPr>
        <w:t xml:space="preserve"> </w:t>
      </w:r>
      <w:r>
        <w:t>umieszczone</w:t>
      </w:r>
      <w:r>
        <w:rPr>
          <w:spacing w:val="-12"/>
        </w:rPr>
        <w:t xml:space="preserve"> </w:t>
      </w:r>
      <w:r>
        <w:t>zdjęcie/nagranie</w:t>
      </w:r>
      <w:r>
        <w:rPr>
          <w:spacing w:val="-10"/>
        </w:rPr>
        <w:t xml:space="preserve"> </w:t>
      </w:r>
      <w:r>
        <w:t>wideo,</w:t>
      </w:r>
      <w:r>
        <w:rPr>
          <w:spacing w:val="-12"/>
        </w:rPr>
        <w:t xml:space="preserve"> </w:t>
      </w:r>
      <w:r>
        <w:t>może</w:t>
      </w:r>
      <w:r>
        <w:rPr>
          <w:spacing w:val="-12"/>
        </w:rPr>
        <w:t xml:space="preserve"> </w:t>
      </w:r>
      <w:r>
        <w:t>pozostać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Internecie</w:t>
      </w:r>
      <w:r>
        <w:rPr>
          <w:spacing w:val="-12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zawsze</w:t>
      </w:r>
      <w:r>
        <w:rPr>
          <w:spacing w:val="-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być</w:t>
      </w:r>
      <w:r>
        <w:rPr>
          <w:spacing w:val="-9"/>
        </w:rPr>
        <w:t xml:space="preserve"> </w:t>
      </w:r>
      <w:r>
        <w:t>udostępniane</w:t>
      </w:r>
      <w:r>
        <w:rPr>
          <w:spacing w:val="-9"/>
        </w:rPr>
        <w:t xml:space="preserve"> </w:t>
      </w:r>
      <w:r>
        <w:t>przez tysiące użytkowników.</w:t>
      </w:r>
      <w:r>
        <w:rPr>
          <w:spacing w:val="-3"/>
        </w:rPr>
        <w:t xml:space="preserve"> </w:t>
      </w:r>
      <w:r>
        <w:t>Może więc</w:t>
      </w:r>
      <w:r>
        <w:rPr>
          <w:spacing w:val="-1"/>
        </w:rPr>
        <w:t xml:space="preserve"> </w:t>
      </w:r>
      <w:r>
        <w:t>błyskawicznie się rozprzestrzeniać,</w:t>
      </w:r>
      <w:r>
        <w:rPr>
          <w:spacing w:val="-2"/>
        </w:rPr>
        <w:t xml:space="preserve"> </w:t>
      </w:r>
      <w:r>
        <w:t>co powoduje, że</w:t>
      </w:r>
      <w:r>
        <w:rPr>
          <w:spacing w:val="-1"/>
        </w:rPr>
        <w:t xml:space="preserve"> </w:t>
      </w:r>
      <w:r>
        <w:t>usunięcie go staje się</w:t>
      </w:r>
      <w:r>
        <w:rPr>
          <w:spacing w:val="64"/>
          <w:w w:val="150"/>
        </w:rPr>
        <w:t xml:space="preserve">  </w:t>
      </w:r>
      <w:r>
        <w:t>niemożliwe.</w:t>
      </w:r>
      <w:r>
        <w:rPr>
          <w:spacing w:val="64"/>
          <w:w w:val="150"/>
        </w:rPr>
        <w:t xml:space="preserve">  </w:t>
      </w:r>
      <w:r>
        <w:t>Zdjęcie/nagranie</w:t>
      </w:r>
      <w:r>
        <w:rPr>
          <w:spacing w:val="80"/>
        </w:rPr>
        <w:t xml:space="preserve">  </w:t>
      </w:r>
      <w:r>
        <w:t>może</w:t>
      </w:r>
      <w:r>
        <w:rPr>
          <w:spacing w:val="65"/>
          <w:w w:val="150"/>
        </w:rPr>
        <w:t xml:space="preserve">  </w:t>
      </w:r>
      <w:r>
        <w:t>zostać</w:t>
      </w:r>
      <w:r>
        <w:rPr>
          <w:spacing w:val="64"/>
          <w:w w:val="150"/>
        </w:rPr>
        <w:t xml:space="preserve">  </w:t>
      </w:r>
      <w:r>
        <w:t>pobrane,</w:t>
      </w:r>
      <w:r>
        <w:rPr>
          <w:spacing w:val="80"/>
        </w:rPr>
        <w:t xml:space="preserve">  </w:t>
      </w:r>
      <w:r>
        <w:t>zmodyfikowane,</w:t>
      </w:r>
      <w:r>
        <w:rPr>
          <w:spacing w:val="64"/>
          <w:w w:val="150"/>
        </w:rPr>
        <w:t xml:space="preserve">  </w:t>
      </w:r>
      <w:r>
        <w:t>wykorzystane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rozpowszechniane przez innych internautów do celów odległych od intencji osoby publikującej. Praktycznie każde urządzenie pozwala też na zrobienie</w:t>
      </w:r>
      <w:r>
        <w:t xml:space="preserve"> tzw. zrzutu ekranu i skopiowanie materiału.</w:t>
      </w:r>
    </w:p>
    <w:p w14:paraId="07860F09" w14:textId="77777777" w:rsidR="006D0D44" w:rsidRDefault="00CC1855">
      <w:pPr>
        <w:pStyle w:val="Tekstpodstawowy"/>
        <w:spacing w:before="85"/>
        <w:ind w:right="100"/>
      </w:pPr>
      <w:r>
        <w:t>Za każdym razem, gdy zdjęcie publikowane jest na platformie społecznościowej, przestaje ono być własnością wyłącznie osoby na nim przedstawionej i je udostępniającej. Warunki użytkowania serwisów często określaj</w:t>
      </w:r>
      <w:r>
        <w:t>ą, że w momencie przesłania obrazu na ich serwer, mogą go swobodnie używać bez dodatkowej zgody. Mimo że prawa autorskie do zdjęcia/nagrania pozostają zachowane, platforma, na której serwerach znajduje się zdjęcie/nagranie, jest właścicielem licencji. Inny</w:t>
      </w:r>
      <w:r>
        <w:t>mi słowy, platforma społecznościowa może wykorzystywać zdjęcie w dowolny sposób.</w:t>
      </w:r>
    </w:p>
    <w:p w14:paraId="3CFB6E5D" w14:textId="77777777" w:rsidR="006D0D44" w:rsidRDefault="00CC1855">
      <w:pPr>
        <w:spacing w:before="119"/>
        <w:ind w:left="117" w:right="101"/>
        <w:jc w:val="both"/>
      </w:pPr>
      <w:r>
        <w:t>Podstawowym</w:t>
      </w:r>
      <w:r>
        <w:rPr>
          <w:spacing w:val="-13"/>
        </w:rPr>
        <w:t xml:space="preserve"> </w:t>
      </w:r>
      <w:r>
        <w:t>przepisem</w:t>
      </w:r>
      <w:r>
        <w:rPr>
          <w:spacing w:val="-12"/>
        </w:rPr>
        <w:t xml:space="preserve"> </w:t>
      </w:r>
      <w:r>
        <w:t>prawa</w:t>
      </w:r>
      <w:r>
        <w:rPr>
          <w:spacing w:val="-13"/>
        </w:rPr>
        <w:t xml:space="preserve"> </w:t>
      </w:r>
      <w:r>
        <w:t>regulującym</w:t>
      </w:r>
      <w:r>
        <w:rPr>
          <w:spacing w:val="-12"/>
        </w:rPr>
        <w:t xml:space="preserve"> </w:t>
      </w:r>
      <w:r>
        <w:t>zasady</w:t>
      </w:r>
      <w:r>
        <w:rPr>
          <w:spacing w:val="-13"/>
        </w:rPr>
        <w:t xml:space="preserve"> </w:t>
      </w:r>
      <w:r>
        <w:t>ochrony</w:t>
      </w:r>
      <w:r>
        <w:rPr>
          <w:spacing w:val="-12"/>
        </w:rPr>
        <w:t xml:space="preserve"> </w:t>
      </w:r>
      <w:r>
        <w:t>wizerunku</w:t>
      </w:r>
      <w:r>
        <w:rPr>
          <w:spacing w:val="-13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81</w:t>
      </w:r>
      <w:r>
        <w:rPr>
          <w:spacing w:val="-13"/>
        </w:rPr>
        <w:t xml:space="preserve"> </w:t>
      </w:r>
      <w:r>
        <w:t>ustawy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 xml:space="preserve">lutego 1994 r. o prawie autorskim i prawach pokrewnych., który stanowi, że: </w:t>
      </w:r>
      <w:r>
        <w:rPr>
          <w:i/>
        </w:rPr>
        <w:t xml:space="preserve">„Rozpowszechnianie wizerunku wymaga zezwolenia osoby na nim przedstawionej.” </w:t>
      </w:r>
      <w:r>
        <w:t>Jest to punkt wyjścia, z którego należy wywodzić wszelkie zasady dotyczące wykorzystywania cudzego wizerunku oraz wszelkie odstępstwa.</w:t>
      </w:r>
    </w:p>
    <w:p w14:paraId="14C5B211" w14:textId="77777777" w:rsidR="006D0D44" w:rsidRDefault="00CC1855">
      <w:pPr>
        <w:pStyle w:val="Tekstpodstawowy"/>
        <w:spacing w:before="122"/>
      </w:pPr>
      <w:r>
        <w:t>Wyjątki</w:t>
      </w:r>
      <w:r>
        <w:rPr>
          <w:spacing w:val="-7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powyższej</w:t>
      </w:r>
      <w:r>
        <w:rPr>
          <w:spacing w:val="-5"/>
        </w:rPr>
        <w:t xml:space="preserve"> </w:t>
      </w:r>
      <w:r>
        <w:t>zasady,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7F4CE634" w14:textId="77777777" w:rsidR="006D0D44" w:rsidRDefault="00CC1855">
      <w:pPr>
        <w:pStyle w:val="Akapitzlist"/>
        <w:numPr>
          <w:ilvl w:val="0"/>
          <w:numId w:val="1"/>
        </w:numPr>
        <w:tabs>
          <w:tab w:val="left" w:pos="759"/>
        </w:tabs>
        <w:ind w:left="759" w:hanging="359"/>
      </w:pPr>
      <w:r>
        <w:t>zapłata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pozowanie,</w:t>
      </w:r>
    </w:p>
    <w:p w14:paraId="4428434A" w14:textId="77777777" w:rsidR="006D0D44" w:rsidRDefault="00CC1855">
      <w:pPr>
        <w:pStyle w:val="Akapitzlist"/>
        <w:numPr>
          <w:ilvl w:val="0"/>
          <w:numId w:val="1"/>
        </w:numPr>
        <w:tabs>
          <w:tab w:val="left" w:pos="760"/>
        </w:tabs>
        <w:spacing w:before="118"/>
        <w:ind w:right="100"/>
      </w:pPr>
      <w:r>
        <w:t>publikacja</w:t>
      </w:r>
      <w:r>
        <w:rPr>
          <w:spacing w:val="75"/>
          <w:w w:val="150"/>
        </w:rPr>
        <w:t xml:space="preserve"> </w:t>
      </w:r>
      <w:r>
        <w:t>wizerunku</w:t>
      </w:r>
      <w:r>
        <w:rPr>
          <w:spacing w:val="74"/>
          <w:w w:val="150"/>
        </w:rPr>
        <w:t xml:space="preserve"> </w:t>
      </w:r>
      <w:r>
        <w:t>osoby</w:t>
      </w:r>
      <w:r>
        <w:rPr>
          <w:spacing w:val="75"/>
          <w:w w:val="150"/>
        </w:rPr>
        <w:t xml:space="preserve"> </w:t>
      </w:r>
      <w:r>
        <w:t>powszechnie</w:t>
      </w:r>
      <w:r>
        <w:rPr>
          <w:spacing w:val="75"/>
          <w:w w:val="150"/>
        </w:rPr>
        <w:t xml:space="preserve"> </w:t>
      </w:r>
      <w:r>
        <w:t>znanej,</w:t>
      </w:r>
      <w:r>
        <w:rPr>
          <w:spacing w:val="73"/>
          <w:w w:val="150"/>
        </w:rPr>
        <w:t xml:space="preserve"> </w:t>
      </w:r>
      <w:r>
        <w:t>jeżeli</w:t>
      </w:r>
      <w:r>
        <w:rPr>
          <w:spacing w:val="74"/>
          <w:w w:val="150"/>
        </w:rPr>
        <w:t xml:space="preserve"> </w:t>
      </w:r>
      <w:r>
        <w:t>wizerunek</w:t>
      </w:r>
      <w:r>
        <w:rPr>
          <w:spacing w:val="80"/>
          <w:w w:val="150"/>
        </w:rPr>
        <w:t xml:space="preserve"> </w:t>
      </w:r>
      <w:r>
        <w:t>utrwalono</w:t>
      </w:r>
      <w:r>
        <w:rPr>
          <w:spacing w:val="73"/>
          <w:w w:val="150"/>
        </w:rPr>
        <w:t xml:space="preserve"> </w:t>
      </w:r>
      <w:r>
        <w:t>w</w:t>
      </w:r>
      <w:r>
        <w:rPr>
          <w:spacing w:val="75"/>
          <w:w w:val="150"/>
        </w:rPr>
        <w:t xml:space="preserve"> </w:t>
      </w:r>
      <w:r>
        <w:t>związku z</w:t>
      </w:r>
      <w:r>
        <w:rPr>
          <w:spacing w:val="-2"/>
        </w:rPr>
        <w:t xml:space="preserve"> </w:t>
      </w:r>
      <w:r>
        <w:t xml:space="preserve">pełnieniem przez nią funkcji publicznych, w szczególności politycznych, społecznych, </w:t>
      </w:r>
      <w:r>
        <w:rPr>
          <w:spacing w:val="-2"/>
        </w:rPr>
        <w:t>zawodowych,</w:t>
      </w:r>
    </w:p>
    <w:p w14:paraId="57AA4506" w14:textId="77777777" w:rsidR="006D0D44" w:rsidRDefault="00CC1855">
      <w:pPr>
        <w:pStyle w:val="Akapitzlist"/>
        <w:numPr>
          <w:ilvl w:val="0"/>
          <w:numId w:val="1"/>
        </w:numPr>
        <w:tabs>
          <w:tab w:val="left" w:pos="759"/>
        </w:tabs>
        <w:ind w:left="759" w:hanging="359"/>
      </w:pPr>
      <w:r>
        <w:t>publikacja</w:t>
      </w:r>
      <w:r>
        <w:rPr>
          <w:spacing w:val="59"/>
          <w:w w:val="150"/>
        </w:rPr>
        <w:t xml:space="preserve"> </w:t>
      </w:r>
      <w:r>
        <w:t>wizerunku</w:t>
      </w:r>
      <w:r>
        <w:rPr>
          <w:spacing w:val="56"/>
          <w:w w:val="150"/>
        </w:rPr>
        <w:t xml:space="preserve"> </w:t>
      </w:r>
      <w:r>
        <w:t>osoby</w:t>
      </w:r>
      <w:r>
        <w:rPr>
          <w:spacing w:val="59"/>
          <w:w w:val="150"/>
        </w:rPr>
        <w:t xml:space="preserve"> </w:t>
      </w:r>
      <w:r>
        <w:t>stanowiącej</w:t>
      </w:r>
      <w:r>
        <w:rPr>
          <w:spacing w:val="57"/>
          <w:w w:val="150"/>
        </w:rPr>
        <w:t xml:space="preserve"> </w:t>
      </w:r>
      <w:r>
        <w:t>jedynie</w:t>
      </w:r>
      <w:r>
        <w:rPr>
          <w:spacing w:val="57"/>
          <w:w w:val="150"/>
        </w:rPr>
        <w:t xml:space="preserve"> </w:t>
      </w:r>
      <w:r>
        <w:t>szczegół</w:t>
      </w:r>
      <w:r>
        <w:rPr>
          <w:spacing w:val="57"/>
          <w:w w:val="150"/>
        </w:rPr>
        <w:t xml:space="preserve"> </w:t>
      </w:r>
      <w:r>
        <w:t>całośc</w:t>
      </w:r>
      <w:r>
        <w:t>i</w:t>
      </w:r>
      <w:r>
        <w:rPr>
          <w:spacing w:val="56"/>
          <w:w w:val="150"/>
        </w:rPr>
        <w:t xml:space="preserve"> </w:t>
      </w:r>
      <w:r>
        <w:t>takiej</w:t>
      </w:r>
      <w:r>
        <w:rPr>
          <w:spacing w:val="57"/>
          <w:w w:val="150"/>
        </w:rPr>
        <w:t xml:space="preserve"> </w:t>
      </w:r>
      <w:r>
        <w:t>jak</w:t>
      </w:r>
      <w:r>
        <w:rPr>
          <w:spacing w:val="57"/>
          <w:w w:val="150"/>
        </w:rPr>
        <w:t xml:space="preserve"> </w:t>
      </w:r>
      <w:r>
        <w:rPr>
          <w:spacing w:val="-2"/>
        </w:rPr>
        <w:t>zgromadzenie,</w:t>
      </w:r>
    </w:p>
    <w:p w14:paraId="3A26DA89" w14:textId="77777777" w:rsidR="006D0D44" w:rsidRDefault="00CC1855">
      <w:pPr>
        <w:pStyle w:val="Tekstpodstawowy"/>
        <w:spacing w:before="1"/>
        <w:ind w:left="760"/>
      </w:pPr>
      <w:r>
        <w:t>krajobraz,</w:t>
      </w:r>
      <w:r>
        <w:rPr>
          <w:spacing w:val="-8"/>
        </w:rPr>
        <w:t xml:space="preserve"> </w:t>
      </w:r>
      <w:r>
        <w:t>publiczna</w:t>
      </w:r>
      <w:r>
        <w:rPr>
          <w:spacing w:val="-7"/>
        </w:rPr>
        <w:t xml:space="preserve"> </w:t>
      </w:r>
      <w:r>
        <w:rPr>
          <w:spacing w:val="-2"/>
        </w:rPr>
        <w:t>impreza.</w:t>
      </w:r>
    </w:p>
    <w:p w14:paraId="7F9A8E0F" w14:textId="77777777" w:rsidR="006D0D44" w:rsidRDefault="00CC1855">
      <w:pPr>
        <w:pStyle w:val="Tekstpodstawowy"/>
        <w:ind w:right="100"/>
      </w:pPr>
      <w:r>
        <w:t>Wizerunek jest jednak również wymieniony wprost w katalogu dóbr osobistych w art. 23 ustawy z dnia 23</w:t>
      </w:r>
      <w:r>
        <w:rPr>
          <w:spacing w:val="-2"/>
        </w:rPr>
        <w:t xml:space="preserve"> </w:t>
      </w:r>
      <w:r>
        <w:t>kwietnia 1964 r. – Kodeks cywilny. Biorąc pod uwagę, że jest to katalog otwarty, należy uznać, że ustawodawca</w:t>
      </w:r>
      <w:r>
        <w:rPr>
          <w:spacing w:val="-13"/>
        </w:rPr>
        <w:t xml:space="preserve"> </w:t>
      </w:r>
      <w:r>
        <w:t>uznał</w:t>
      </w:r>
      <w:r>
        <w:rPr>
          <w:spacing w:val="-11"/>
        </w:rPr>
        <w:t xml:space="preserve"> </w:t>
      </w:r>
      <w:r>
        <w:t>wizerunek</w:t>
      </w:r>
      <w:r>
        <w:rPr>
          <w:spacing w:val="-8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szczególnie</w:t>
      </w:r>
      <w:r>
        <w:rPr>
          <w:spacing w:val="-11"/>
        </w:rPr>
        <w:t xml:space="preserve"> </w:t>
      </w:r>
      <w:r>
        <w:t>ważne</w:t>
      </w:r>
      <w:r>
        <w:rPr>
          <w:spacing w:val="-12"/>
        </w:rPr>
        <w:t xml:space="preserve"> </w:t>
      </w:r>
      <w:r>
        <w:t>dobro</w:t>
      </w:r>
      <w:r>
        <w:rPr>
          <w:spacing w:val="-13"/>
        </w:rPr>
        <w:t xml:space="preserve"> </w:t>
      </w:r>
      <w:r>
        <w:t>osobiste.</w:t>
      </w:r>
      <w:r>
        <w:rPr>
          <w:spacing w:val="-12"/>
        </w:rPr>
        <w:t xml:space="preserve"> </w:t>
      </w:r>
      <w:r>
        <w:t>Przepisy</w:t>
      </w:r>
      <w:r>
        <w:rPr>
          <w:spacing w:val="-11"/>
        </w:rPr>
        <w:t xml:space="preserve"> </w:t>
      </w:r>
      <w:r>
        <w:t>ogólne</w:t>
      </w:r>
      <w:r>
        <w:rPr>
          <w:spacing w:val="-9"/>
        </w:rPr>
        <w:t xml:space="preserve"> </w:t>
      </w:r>
      <w:r>
        <w:t>pozwalają</w:t>
      </w:r>
      <w:r>
        <w:rPr>
          <w:spacing w:val="-13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 xml:space="preserve">szerszą ochronę wizerunku niż to przewiduje omawiany wyżej art. </w:t>
      </w:r>
      <w:r>
        <w:t>81 Prawa autorskiego. Kodeks cywilny chroni bowiem wizerunek nie tylko przed niekontrolowanym rozpowszechnianiem, ale przed jakimkolwiek innym naruszeniem.</w:t>
      </w:r>
    </w:p>
    <w:p w14:paraId="6748E2E9" w14:textId="77777777" w:rsidR="006D0D44" w:rsidRDefault="00CC1855">
      <w:pPr>
        <w:pStyle w:val="Tekstpodstawowy"/>
        <w:ind w:right="106"/>
      </w:pPr>
      <w:r>
        <w:t>Należy</w:t>
      </w:r>
      <w:r>
        <w:rPr>
          <w:spacing w:val="-2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pamiętać,</w:t>
      </w:r>
      <w:r>
        <w:rPr>
          <w:spacing w:val="-3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wizerunek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t>daną</w:t>
      </w:r>
      <w:r>
        <w:rPr>
          <w:spacing w:val="-3"/>
        </w:rPr>
        <w:t xml:space="preserve"> </w:t>
      </w:r>
      <w:r>
        <w:t>osobową,</w:t>
      </w:r>
      <w:r>
        <w:rPr>
          <w:spacing w:val="-3"/>
        </w:rPr>
        <w:t xml:space="preserve"> </w:t>
      </w:r>
      <w:r>
        <w:t>zatem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pewnych</w:t>
      </w:r>
      <w:r>
        <w:rPr>
          <w:spacing w:val="-3"/>
        </w:rPr>
        <w:t xml:space="preserve"> </w:t>
      </w:r>
      <w:r>
        <w:t>okolicznościach</w:t>
      </w:r>
      <w:r>
        <w:rPr>
          <w:spacing w:val="-4"/>
        </w:rPr>
        <w:t xml:space="preserve"> </w:t>
      </w:r>
      <w:r>
        <w:t>jego wykorzystanie może naruszać przepisy RODO. Dotyczy to w szczególności przypadków, w których wizerunek wykorzystano bez zgody oraz poza ustawowym wyłączeniem.</w:t>
      </w:r>
    </w:p>
    <w:p w14:paraId="72360272" w14:textId="77777777" w:rsidR="006D0D44" w:rsidRDefault="00CC1855">
      <w:pPr>
        <w:pStyle w:val="Tekstpodstawowy"/>
        <w:ind w:right="105"/>
      </w:pPr>
      <w:r>
        <w:t>Naruszenie powyższych przepisów może powodować po stronie naruszającego obowiązek zapłaty zad</w:t>
      </w:r>
      <w:r>
        <w:t>ośćuczynienia, odpowiedniej kwoty na cel społeczny, a także obowiązek zaniechania naruszenia oraz usunięcia jego skutków, w szczególności poprzez złożenie publicznego oświadczenia. Gdy doszło do naruszenia</w:t>
      </w:r>
      <w:r>
        <w:rPr>
          <w:spacing w:val="-1"/>
        </w:rPr>
        <w:t xml:space="preserve"> </w:t>
      </w:r>
      <w:r>
        <w:t>przepisów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ochronie</w:t>
      </w:r>
      <w:r>
        <w:rPr>
          <w:spacing w:val="-1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osobowych,</w:t>
      </w:r>
      <w:r>
        <w:rPr>
          <w:spacing w:val="-4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to również</w:t>
      </w:r>
      <w:r>
        <w:rPr>
          <w:spacing w:val="-4"/>
        </w:rPr>
        <w:t xml:space="preserve"> </w:t>
      </w:r>
      <w:r>
        <w:t>wiązać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karą</w:t>
      </w:r>
      <w:r>
        <w:rPr>
          <w:spacing w:val="-2"/>
        </w:rPr>
        <w:t xml:space="preserve"> </w:t>
      </w:r>
      <w:r>
        <w:t>administracyjną.</w:t>
      </w:r>
    </w:p>
    <w:p w14:paraId="1D08CEA5" w14:textId="77777777" w:rsidR="006D0D44" w:rsidRDefault="006D0D44">
      <w:pPr>
        <w:pStyle w:val="Tekstpodstawowy"/>
        <w:spacing w:before="230"/>
        <w:ind w:left="0"/>
        <w:jc w:val="left"/>
        <w:rPr>
          <w:sz w:val="24"/>
        </w:rPr>
      </w:pPr>
    </w:p>
    <w:p w14:paraId="75EC53E6" w14:textId="33DA86A0" w:rsidR="006D0D44" w:rsidRDefault="00920961">
      <w:pPr>
        <w:pStyle w:val="Tytu"/>
      </w:pPr>
      <w:r>
        <w:t>Pokój</w:t>
      </w:r>
      <w:r w:rsidR="00CC1855">
        <w:t>,</w:t>
      </w:r>
      <w:r w:rsidR="00CC1855">
        <w:rPr>
          <w:spacing w:val="-9"/>
        </w:rPr>
        <w:t xml:space="preserve"> </w:t>
      </w:r>
      <w:r w:rsidR="00CC1855">
        <w:t>15.08.2024</w:t>
      </w:r>
      <w:r w:rsidR="00CC1855">
        <w:rPr>
          <w:spacing w:val="-4"/>
        </w:rPr>
        <w:t xml:space="preserve"> </w:t>
      </w:r>
      <w:r w:rsidR="00CC1855">
        <w:rPr>
          <w:spacing w:val="-5"/>
        </w:rPr>
        <w:t>r.</w:t>
      </w:r>
      <w:r>
        <w:rPr>
          <w:spacing w:val="-5"/>
        </w:rPr>
        <w:t xml:space="preserve">                     </w:t>
      </w:r>
      <w:r w:rsidRPr="00CC1855">
        <w:rPr>
          <w:spacing w:val="-5"/>
          <w:sz w:val="20"/>
          <w:szCs w:val="20"/>
        </w:rPr>
        <w:t>Data i podpis rodzica</w:t>
      </w:r>
      <w:r w:rsidR="00CC1855" w:rsidRPr="00CC1855">
        <w:rPr>
          <w:spacing w:val="-5"/>
          <w:sz w:val="20"/>
          <w:szCs w:val="20"/>
        </w:rPr>
        <w:t>/opiekuna prawnego</w:t>
      </w:r>
      <w:r w:rsidR="00CC1855">
        <w:rPr>
          <w:spacing w:val="-5"/>
        </w:rPr>
        <w:t xml:space="preserve">  </w:t>
      </w:r>
      <w:r>
        <w:rPr>
          <w:spacing w:val="-5"/>
        </w:rPr>
        <w:t>……………………………………….</w:t>
      </w:r>
    </w:p>
    <w:sectPr w:rsidR="006D0D44">
      <w:type w:val="continuous"/>
      <w:pgSz w:w="11900" w:h="16850"/>
      <w:pgMar w:top="1360" w:right="11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7A02"/>
    <w:multiLevelType w:val="hybridMultilevel"/>
    <w:tmpl w:val="074C4E5A"/>
    <w:lvl w:ilvl="0" w:tplc="429CF138">
      <w:numFmt w:val="bullet"/>
      <w:lvlText w:val="-"/>
      <w:lvlJc w:val="left"/>
      <w:pPr>
        <w:ind w:left="76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3B8C96A">
      <w:numFmt w:val="bullet"/>
      <w:lvlText w:val="•"/>
      <w:lvlJc w:val="left"/>
      <w:pPr>
        <w:ind w:left="1641" w:hanging="360"/>
      </w:pPr>
      <w:rPr>
        <w:rFonts w:hint="default"/>
        <w:lang w:val="pl-PL" w:eastAsia="en-US" w:bidi="ar-SA"/>
      </w:rPr>
    </w:lvl>
    <w:lvl w:ilvl="2" w:tplc="87D21C1C">
      <w:numFmt w:val="bullet"/>
      <w:lvlText w:val="•"/>
      <w:lvlJc w:val="left"/>
      <w:pPr>
        <w:ind w:left="2523" w:hanging="360"/>
      </w:pPr>
      <w:rPr>
        <w:rFonts w:hint="default"/>
        <w:lang w:val="pl-PL" w:eastAsia="en-US" w:bidi="ar-SA"/>
      </w:rPr>
    </w:lvl>
    <w:lvl w:ilvl="3" w:tplc="9CC4B3FC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4" w:tplc="60A06232">
      <w:numFmt w:val="bullet"/>
      <w:lvlText w:val="•"/>
      <w:lvlJc w:val="left"/>
      <w:pPr>
        <w:ind w:left="4287" w:hanging="360"/>
      </w:pPr>
      <w:rPr>
        <w:rFonts w:hint="default"/>
        <w:lang w:val="pl-PL" w:eastAsia="en-US" w:bidi="ar-SA"/>
      </w:rPr>
    </w:lvl>
    <w:lvl w:ilvl="5" w:tplc="9E28E16A">
      <w:numFmt w:val="bullet"/>
      <w:lvlText w:val="•"/>
      <w:lvlJc w:val="left"/>
      <w:pPr>
        <w:ind w:left="5169" w:hanging="360"/>
      </w:pPr>
      <w:rPr>
        <w:rFonts w:hint="default"/>
        <w:lang w:val="pl-PL" w:eastAsia="en-US" w:bidi="ar-SA"/>
      </w:rPr>
    </w:lvl>
    <w:lvl w:ilvl="6" w:tplc="64DE11B2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7" w:tplc="1BC2541E">
      <w:numFmt w:val="bullet"/>
      <w:lvlText w:val="•"/>
      <w:lvlJc w:val="left"/>
      <w:pPr>
        <w:ind w:left="6933" w:hanging="360"/>
      </w:pPr>
      <w:rPr>
        <w:rFonts w:hint="default"/>
        <w:lang w:val="pl-PL" w:eastAsia="en-US" w:bidi="ar-SA"/>
      </w:rPr>
    </w:lvl>
    <w:lvl w:ilvl="8" w:tplc="83A61C52">
      <w:numFmt w:val="bullet"/>
      <w:lvlText w:val="•"/>
      <w:lvlJc w:val="left"/>
      <w:pPr>
        <w:ind w:left="7815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0D44"/>
    <w:rsid w:val="006D0D44"/>
    <w:rsid w:val="00920961"/>
    <w:rsid w:val="00CC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D10B"/>
  <w15:docId w15:val="{274820AA-7C1A-423E-968E-EE902101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117"/>
      <w:jc w:val="both"/>
    </w:pPr>
  </w:style>
  <w:style w:type="paragraph" w:styleId="Tytu">
    <w:name w:val="Title"/>
    <w:basedOn w:val="Normalny"/>
    <w:uiPriority w:val="10"/>
    <w:qFormat/>
    <w:pPr>
      <w:ind w:left="117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759" w:hanging="35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DE3532D01A424CB6B1C55A650B5A81" ma:contentTypeVersion="18" ma:contentTypeDescription="Utwórz nowy dokument." ma:contentTypeScope="" ma:versionID="75a8e732659e33b36819fd0885613496">
  <xsd:schema xmlns:xsd="http://www.w3.org/2001/XMLSchema" xmlns:xs="http://www.w3.org/2001/XMLSchema" xmlns:p="http://schemas.microsoft.com/office/2006/metadata/properties" xmlns:ns3="0a5e7f0f-3a35-4535-ade6-7c656a741dce" xmlns:ns4="814a84ec-2023-40f9-8b3a-86f14aa4b6ca" targetNamespace="http://schemas.microsoft.com/office/2006/metadata/properties" ma:root="true" ma:fieldsID="cfd7c82229d1070dd59b8cac7fea1de6" ns3:_="" ns4:_="">
    <xsd:import namespace="0a5e7f0f-3a35-4535-ade6-7c656a741dce"/>
    <xsd:import namespace="814a84ec-2023-40f9-8b3a-86f14aa4b6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e7f0f-3a35-4535-ade6-7c656a741d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84ec-2023-40f9-8b3a-86f14aa4b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4a84ec-2023-40f9-8b3a-86f14aa4b6ca" xsi:nil="true"/>
  </documentManagement>
</p:properties>
</file>

<file path=customXml/itemProps1.xml><?xml version="1.0" encoding="utf-8"?>
<ds:datastoreItem xmlns:ds="http://schemas.openxmlformats.org/officeDocument/2006/customXml" ds:itemID="{AEF76EF8-FAF7-40E1-A0BB-E4178234F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e7f0f-3a35-4535-ade6-7c656a741dce"/>
    <ds:schemaRef ds:uri="814a84ec-2023-40f9-8b3a-86f14aa4b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0C407-17FC-47BE-B43D-70D5DC2E4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6941C-EDF4-41A0-8734-00DDDB033631}">
  <ds:schemaRefs>
    <ds:schemaRef ds:uri="814a84ec-2023-40f9-8b3a-86f14aa4b6ca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a5e7f0f-3a35-4535-ade6-7c656a741d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Pokój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Machowska</dc:creator>
  <cp:lastModifiedBy>Edyta  Pawłowska</cp:lastModifiedBy>
  <cp:revision>3</cp:revision>
  <dcterms:created xsi:type="dcterms:W3CDTF">2024-11-06T13:17:00Z</dcterms:created>
  <dcterms:modified xsi:type="dcterms:W3CDTF">2024-11-06T13:19:00Z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0x01010048DE3532D01A424CB6B1C55A650B5A81</vt:lpwstr>
  </property>
</Properties>
</file>