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Nazwa przedmiotu: wdż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Klasa: VA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lekcja dla grupy chłopców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Data 25.05.20r.   Zoom- poniedziałek godz. 13.10. (tylko chłopcy)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id 4557112016 HASŁO 699926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Temat: Dojrzewam (lekcja dla grupy chłopców)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W trakcie tej lekcji (cele):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1. Uczeń potrafi:• podać definicję pokwitania i wiek chłopców, w którym dochodzi do zmian w ich organizmach, • omówić zmiany fizyczne chłopców charakterystyczne dla okresu pokwitania. Uczeń uświadomi sobie, że:• każdy chłopiec ma swoje </w:t>
        <w:br/>
        <w:t xml:space="preserve">własne tempo rozwoju, które trzeba zaakceptować. 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fldChar w:fldCharType="begin"/>
      </w:r>
      <w:r>
        <w:instrText> HYPERLINK "https://pl.wiktionary.org/wiki/wiek"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highlight w:val="white"/>
        </w:rPr>
        <w:t>wiek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fldChar w:fldCharType="begin"/>
      </w:r>
      <w:r>
        <w:instrText> HYPERLINK "https://pl.wiktionary.org/wiki/młodzieńczy"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highlight w:val="white"/>
        </w:rPr>
        <w:t>młodzieńczy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= </w:t>
      </w:r>
      <w:r>
        <w:fldChar w:fldCharType="begin"/>
      </w:r>
      <w:r>
        <w:instrText> HYPERLINK "https://pl.wiktionary.org/wiki/adolescencja"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highlight w:val="white"/>
        </w:rPr>
        <w:t>adolescencja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ab/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.</w:t>
        <w:tab/>
        <w:t>obejrzysz prezentację (podczas Zoom)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3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.</w:t>
        <w:tab/>
        <w:t xml:space="preserve">wykonasz zadanie: do zeszytu wpisz temat i </w:t>
        <w:br/>
        <w:t>NOTATKĘ:  →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108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Rozwój fizyczny chłopców: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Chłopcy wchodzą w okres dojrzewania między 10 a 14 rokiem życia.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Dojrzewanie rozpoczyna się od intensywnego wzrostu.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Kształtuje się męska sylwetka.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Następuje rozrost krtani i mutacja.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Pojawia się owłosienie łonowe i pod pachami.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Intensywnie rozwijają się narządy płciowe.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7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Dojrzewanie człowieka to przechodzenie z dzieciństwa ku dorosłości. Obejmuje ono rozwój fizyczny (biologiczny), psychiczny i społeczny.</w:t>
        <w:br/>
        <w:t>Każdy z nas ma narządy, które decydują o tym, że jesteśmy kobietą lub mężczyzną. Są one bardzo ważne, bo umożliwiają przekazywanie życia. Te sprawy należy traktować z powagą i poszanowaniem.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Czego będziesz potrzebować do tej lekcji?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1.</w:t>
        <w:tab/>
        <w:t>smartfon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>laptop/komputer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>zeszyt i coś do pisania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4.</w:t>
        <w:tab/>
        <w:t>dostęp do Internetu i przeglądarki internetowej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ZAKRES REALIZACJI PODSTAWY PROGRAMOWEJ: Rola hormonów w okresie pokwitania. 2. Skok rozwojowy – przyrost długości i ciężaru ciała oraz układu szkieletowego.3. Przyspieszenie wzrastania dłoni i stóp, zaburzone proporcje kończyn w stosunku do innych części ciała.4. Pogrubienie kości czaszki, rozrost dolnej szczęki i zmiana zgryzu. 5. Rozwój narządów płciowych i owłosienia łonowego. 6. Samoistne wzwody członka i pierwsze polucje, tzw. mokre sny. 7. Zróżnicowane, indywidualne tempo rozwoju.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>
      <w:keepNext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pl-PL"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Czeinternetowe">
    <w:name w:val="Łącze internetowe"/>
    <w:rPr>
      <w:color w:val="000080"/>
      <w:u w:val="single"/>
      <w:lang w:val="zxx" w:eastAsia="zxx"/>
    </w:rPr>
  </w:style>
  <w:style w:type="character" w:styleId="Wyrnienie">
    <w:name w:val="Wyróżnienie"/>
    <w:qFormat/>
    <w:rPr>
      <w:i/>
    </w:rPr>
  </w:style>
  <w:style w:type="character" w:styleId="DefaultParagraphFont">
    <w:name w:val="Default Paragraph Font"/>
    <w:qFormat/>
    <w:rPr/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LibreOffice/5.4.1.2$Windows_x86 LibreOffice_project/ea7cb86e6eeb2bf3a5af73a8f7777ac570321527</Application>
  <Pages>2</Pages>
  <Words>292</Words>
  <Characters>1744</Characters>
  <CharactersWithSpaces>2019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2020-05-24T13:11:14Z</dcterms:modified>
  <cp:revision>7</cp:revision>
  <dc:subject/>
  <dc:title/>
</cp:coreProperties>
</file>